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i w:val="0"/>
          <w:caps w:val="0"/>
          <w:color w:val="auto"/>
          <w:spacing w:val="0"/>
          <w:sz w:val="36"/>
          <w:szCs w:val="36"/>
        </w:rPr>
      </w:pPr>
      <w:r>
        <w:rPr>
          <w:rFonts w:hint="eastAsia" w:ascii="黑体" w:hAnsi="黑体" w:eastAsia="黑体" w:cs="黑体"/>
          <w:b/>
          <w:i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关于证券公司做好利益冲突管理工作的通知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中证协发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/>
        </w:rPr>
        <w:t>［２０１５］５２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号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</w:pP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各证券公司会员：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为指导证券公司做好利益冲突管理，现将有关事项通知如下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一、证券公司应当建立利益冲突管理机制。对各项业务活动中可能产生的利益冲突进行识别、评估和管理。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二、证券公司已经采取信息隔离墙等措施，仍难以避免利益冲突的，应当对实际存在的和潜在的利益冲突进行充分披露。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披露仍难以有效处理利益冲突的，证券公司应当对存在利益冲突的相关业务活动采取限制措施。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证券公司在对相关业务进行限制时，应当遵循客户利益优先和公平对待客户的原则。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三、证券公司有关业务的决策机构应当实行回避制度，防范可能产生的利益冲突。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证券公司工作人员不应同时履行可能导致利益冲突的职责，业务部门工作人员不应在与其业务存在利益冲突的子公司兼任职务。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同一高级管理人员同时分管两个或两个以上存在利益冲突的业务的，不应直接或间接参与具体证券品种的投资决策、投资咨询等可能导致利益冲突的业务活动。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四、证券公司应当根据自身业务发展需求，进一步完善内部控制制度，在各项业务开展过程中严禁任何形式的利益输送。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                               　              　    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中国证券业协会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    　                                         　 ２０１５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３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１１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vanish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914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ヾ左岸の烟づ</cp:lastModifiedBy>
  <dcterms:modified xsi:type="dcterms:W3CDTF">2018-01-04T05:22:13Z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